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1E04" w14:textId="77777777" w:rsidR="00A566EC" w:rsidRPr="00371010" w:rsidRDefault="00A566EC" w:rsidP="00366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01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F9D3C60" wp14:editId="4E222EB4">
            <wp:extent cx="1143000" cy="7239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3E8341" w14:textId="77777777" w:rsidR="00A566EC" w:rsidRPr="00371010" w:rsidRDefault="00A566EC" w:rsidP="00366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010">
        <w:rPr>
          <w:rFonts w:ascii="Times New Roman" w:hAnsi="Times New Roman" w:cs="Times New Roman"/>
          <w:b/>
          <w:bCs/>
          <w:sz w:val="24"/>
          <w:szCs w:val="24"/>
        </w:rPr>
        <w:t xml:space="preserve">EU </w:t>
      </w:r>
      <w:r w:rsidR="009B501E" w:rsidRPr="00371010">
        <w:rPr>
          <w:rFonts w:ascii="Times New Roman" w:hAnsi="Times New Roman" w:cs="Times New Roman"/>
          <w:b/>
          <w:bCs/>
          <w:sz w:val="24"/>
          <w:szCs w:val="24"/>
        </w:rPr>
        <w:t xml:space="preserve">General </w:t>
      </w:r>
      <w:r w:rsidRPr="00371010">
        <w:rPr>
          <w:rFonts w:ascii="Times New Roman" w:hAnsi="Times New Roman" w:cs="Times New Roman"/>
          <w:b/>
          <w:bCs/>
          <w:sz w:val="24"/>
          <w:szCs w:val="24"/>
        </w:rPr>
        <w:t>Statement</w:t>
      </w:r>
    </w:p>
    <w:p w14:paraId="263E1B93" w14:textId="77777777" w:rsidR="00A566EC" w:rsidRPr="00371010" w:rsidRDefault="00A566EC" w:rsidP="00366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010">
        <w:rPr>
          <w:rFonts w:ascii="Times New Roman" w:hAnsi="Times New Roman" w:cs="Times New Roman"/>
          <w:b/>
          <w:bCs/>
          <w:sz w:val="24"/>
          <w:szCs w:val="24"/>
        </w:rPr>
        <w:t>Arms Trade Treaty</w:t>
      </w:r>
    </w:p>
    <w:p w14:paraId="37B48A67" w14:textId="77777777" w:rsidR="00A566EC" w:rsidRPr="00371010" w:rsidRDefault="00B26DA9" w:rsidP="00366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Eleventh</w:t>
      </w:r>
      <w:r w:rsidR="00A566EC" w:rsidRPr="00371010">
        <w:rPr>
          <w:rFonts w:ascii="Times New Roman" w:hAnsi="Times New Roman" w:cs="Times New Roman"/>
          <w:b/>
          <w:bCs/>
          <w:sz w:val="24"/>
          <w:szCs w:val="24"/>
        </w:rPr>
        <w:t xml:space="preserve"> Conference of State Parties</w:t>
      </w:r>
    </w:p>
    <w:p w14:paraId="242E6D82" w14:textId="77777777" w:rsidR="00A566EC" w:rsidRPr="009B6939" w:rsidRDefault="00B26DA9" w:rsidP="009B6939">
      <w:pPr>
        <w:ind w:left="21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Geneva, 25-29</w:t>
      </w:r>
      <w:r w:rsidR="00A566EC" w:rsidRPr="00371010">
        <w:rPr>
          <w:rFonts w:ascii="Times New Roman" w:hAnsi="Times New Roman" w:cs="Times New Roman"/>
          <w:b/>
          <w:bCs/>
          <w:sz w:val="24"/>
          <w:szCs w:val="24"/>
        </w:rPr>
        <w:t xml:space="preserve"> August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2A4F">
        <w:rPr>
          <w:rFonts w:ascii="Times New Roman" w:hAnsi="Times New Roman" w:cs="Times New Roman"/>
          <w:sz w:val="24"/>
          <w:szCs w:val="24"/>
        </w:rPr>
        <w:tab/>
      </w:r>
      <w:r w:rsidR="00732A4F">
        <w:rPr>
          <w:rFonts w:ascii="Times New Roman" w:hAnsi="Times New Roman" w:cs="Times New Roman"/>
          <w:sz w:val="24"/>
          <w:szCs w:val="24"/>
        </w:rPr>
        <w:tab/>
      </w:r>
      <w:r w:rsidR="00732A4F">
        <w:rPr>
          <w:rFonts w:ascii="Times New Roman" w:hAnsi="Times New Roman" w:cs="Times New Roman"/>
          <w:sz w:val="24"/>
          <w:szCs w:val="24"/>
        </w:rPr>
        <w:tab/>
      </w:r>
      <w:r w:rsidR="00732A4F">
        <w:rPr>
          <w:rFonts w:ascii="Times New Roman" w:hAnsi="Times New Roman" w:cs="Times New Roman"/>
          <w:sz w:val="24"/>
          <w:szCs w:val="24"/>
        </w:rPr>
        <w:tab/>
      </w:r>
      <w:r w:rsidR="00732A4F">
        <w:rPr>
          <w:rFonts w:ascii="Times New Roman" w:hAnsi="Times New Roman" w:cs="Times New Roman"/>
          <w:sz w:val="24"/>
          <w:szCs w:val="24"/>
        </w:rPr>
        <w:tab/>
      </w:r>
      <w:r w:rsidR="00732A4F">
        <w:rPr>
          <w:rFonts w:ascii="Times New Roman" w:hAnsi="Times New Roman" w:cs="Times New Roman"/>
          <w:sz w:val="24"/>
          <w:szCs w:val="24"/>
        </w:rPr>
        <w:tab/>
      </w:r>
      <w:r w:rsidR="00732A4F">
        <w:rPr>
          <w:rFonts w:ascii="Times New Roman" w:hAnsi="Times New Roman" w:cs="Times New Roman"/>
          <w:sz w:val="24"/>
          <w:szCs w:val="24"/>
        </w:rPr>
        <w:tab/>
      </w:r>
      <w:r w:rsidR="00A566EC" w:rsidRPr="00371010">
        <w:rPr>
          <w:rFonts w:ascii="Times New Roman" w:hAnsi="Times New Roman" w:cs="Times New Roman"/>
          <w:sz w:val="24"/>
          <w:szCs w:val="24"/>
        </w:rPr>
        <w:tab/>
      </w:r>
      <w:r w:rsidR="00A566EC" w:rsidRPr="00371010">
        <w:rPr>
          <w:rFonts w:ascii="Times New Roman" w:hAnsi="Times New Roman" w:cs="Times New Roman"/>
          <w:sz w:val="24"/>
          <w:szCs w:val="24"/>
        </w:rPr>
        <w:tab/>
      </w:r>
      <w:r w:rsidR="00A566EC" w:rsidRPr="00371010">
        <w:rPr>
          <w:rFonts w:ascii="Times New Roman" w:hAnsi="Times New Roman" w:cs="Times New Roman"/>
          <w:sz w:val="24"/>
          <w:szCs w:val="24"/>
        </w:rPr>
        <w:tab/>
      </w:r>
    </w:p>
    <w:p w14:paraId="242BD0C5" w14:textId="77777777" w:rsidR="007335B9" w:rsidRPr="007335B9" w:rsidRDefault="007335B9" w:rsidP="007335B9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FF4E66A" w14:textId="01D37D1E" w:rsidR="007335B9" w:rsidRPr="007335B9" w:rsidRDefault="007335B9" w:rsidP="007335B9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  <w:r w:rsidRPr="007335B9">
        <w:rPr>
          <w:rFonts w:ascii="Times New Roman" w:hAnsi="Times New Roman" w:cs="Times New Roman"/>
          <w:i/>
          <w:sz w:val="24"/>
          <w:szCs w:val="24"/>
        </w:rPr>
        <w:tab/>
      </w:r>
    </w:p>
    <w:p w14:paraId="313849F9" w14:textId="77777777" w:rsidR="007335B9" w:rsidRDefault="007335B9" w:rsidP="007335B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AAA6" w14:textId="77777777" w:rsidR="00A566EC" w:rsidRPr="00775DE2" w:rsidRDefault="00CE2F17" w:rsidP="007335B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DE2">
        <w:rPr>
          <w:rFonts w:ascii="Times New Roman" w:hAnsi="Times New Roman" w:cs="Times New Roman"/>
          <w:sz w:val="24"/>
          <w:szCs w:val="24"/>
        </w:rPr>
        <w:t>Mr.</w:t>
      </w:r>
      <w:r w:rsidR="00A566EC" w:rsidRPr="00775DE2">
        <w:rPr>
          <w:rFonts w:ascii="Times New Roman" w:hAnsi="Times New Roman" w:cs="Times New Roman"/>
          <w:sz w:val="24"/>
          <w:szCs w:val="24"/>
        </w:rPr>
        <w:t xml:space="preserve"> President,</w:t>
      </w:r>
    </w:p>
    <w:p w14:paraId="17F1904D" w14:textId="73EA0198" w:rsidR="00A566EC" w:rsidRPr="00775DE2" w:rsidRDefault="00A566EC" w:rsidP="007335B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DE2">
        <w:rPr>
          <w:rFonts w:ascii="Times New Roman" w:hAnsi="Times New Roman" w:cs="Times New Roman"/>
          <w:sz w:val="24"/>
          <w:szCs w:val="24"/>
        </w:rPr>
        <w:t xml:space="preserve">I have the honour to speak on behalf of the European Union. </w:t>
      </w:r>
    </w:p>
    <w:p w14:paraId="4435308E" w14:textId="422E9B60" w:rsidR="00722918" w:rsidRPr="00722918" w:rsidRDefault="00722918" w:rsidP="00E77F52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722918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The candidate countries North Macedonia, Montenegro, </w:t>
      </w:r>
      <w:r w:rsidR="00DC71F6">
        <w:rPr>
          <w:rStyle w:val="Strong"/>
          <w:rFonts w:ascii="Times New Roman" w:hAnsi="Times New Roman" w:cs="Times New Roman"/>
          <w:b w:val="0"/>
          <w:sz w:val="24"/>
          <w:lang w:val="en-GB"/>
        </w:rPr>
        <w:t>Albania and</w:t>
      </w:r>
      <w:r w:rsidRPr="00722918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</w:t>
      </w:r>
      <w:r w:rsidR="00DC71F6">
        <w:rPr>
          <w:rStyle w:val="Strong"/>
          <w:rFonts w:ascii="Times New Roman" w:hAnsi="Times New Roman" w:cs="Times New Roman"/>
          <w:b w:val="0"/>
          <w:sz w:val="24"/>
          <w:lang w:val="en-GB"/>
        </w:rPr>
        <w:t>Republic of Moldova</w:t>
      </w:r>
      <w:r w:rsidRPr="00DC71F6">
        <w:rPr>
          <w:rStyle w:val="FootnoteReference"/>
          <w:rFonts w:ascii="Times New Roman" w:hAnsi="Times New Roman" w:cs="Times New Roman"/>
          <w:bCs/>
          <w:sz w:val="24"/>
          <w:lang w:val="en-GB"/>
        </w:rPr>
        <w:footnoteReference w:id="1"/>
      </w:r>
      <w:r w:rsidR="0038616E">
        <w:rPr>
          <w:rStyle w:val="Strong"/>
          <w:rFonts w:ascii="Times New Roman" w:hAnsi="Times New Roman" w:cs="Times New Roman"/>
          <w:b w:val="0"/>
          <w:sz w:val="24"/>
          <w:lang w:val="en-GB"/>
        </w:rPr>
        <w:t>, as well as the EFTA countries</w:t>
      </w:r>
      <w:r w:rsidR="006615BF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Iceland</w:t>
      </w:r>
      <w:r w:rsidR="0038616E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and Norway</w:t>
      </w:r>
      <w:r w:rsidR="006615BF">
        <w:rPr>
          <w:rStyle w:val="Strong"/>
          <w:rFonts w:ascii="Times New Roman" w:hAnsi="Times New Roman" w:cs="Times New Roman"/>
          <w:b w:val="0"/>
          <w:sz w:val="24"/>
          <w:lang w:val="en-GB"/>
        </w:rPr>
        <w:t>, member</w:t>
      </w:r>
      <w:r w:rsidR="0038616E">
        <w:rPr>
          <w:rStyle w:val="Strong"/>
          <w:rFonts w:ascii="Times New Roman" w:hAnsi="Times New Roman" w:cs="Times New Roman"/>
          <w:b w:val="0"/>
          <w:sz w:val="24"/>
          <w:lang w:val="en-GB"/>
        </w:rPr>
        <w:t>s</w:t>
      </w:r>
      <w:bookmarkStart w:id="0" w:name="_GoBack"/>
      <w:bookmarkEnd w:id="0"/>
      <w:r w:rsidR="006615BF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</w:t>
      </w:r>
      <w:r w:rsidR="006615BF" w:rsidRPr="006615BF">
        <w:rPr>
          <w:rStyle w:val="Strong"/>
          <w:rFonts w:ascii="Times New Roman" w:hAnsi="Times New Roman" w:cs="Times New Roman"/>
          <w:b w:val="0"/>
          <w:sz w:val="24"/>
          <w:lang w:val="en-GB"/>
        </w:rPr>
        <w:t>of the European Economic Area</w:t>
      </w:r>
      <w:r w:rsidR="006615BF">
        <w:rPr>
          <w:rStyle w:val="Strong"/>
          <w:rFonts w:ascii="Times New Roman" w:hAnsi="Times New Roman" w:cs="Times New Roman"/>
          <w:b w:val="0"/>
          <w:sz w:val="24"/>
          <w:lang w:val="en-GB"/>
        </w:rPr>
        <w:t>,</w:t>
      </w:r>
      <w:r w:rsidRPr="00DC71F6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</w:t>
      </w:r>
      <w:r w:rsidRPr="00722918">
        <w:rPr>
          <w:rStyle w:val="Strong"/>
          <w:rFonts w:ascii="Times New Roman" w:hAnsi="Times New Roman" w:cs="Times New Roman"/>
          <w:b w:val="0"/>
          <w:bCs w:val="0"/>
          <w:sz w:val="24"/>
          <w:lang w:val="en-GB"/>
        </w:rPr>
        <w:t>align themselves with this statement</w:t>
      </w:r>
      <w:r w:rsidRPr="00722918">
        <w:rPr>
          <w:rStyle w:val="Strong"/>
          <w:rFonts w:ascii="Times New Roman" w:hAnsi="Times New Roman" w:cs="Times New Roman"/>
          <w:b w:val="0"/>
          <w:sz w:val="24"/>
          <w:lang w:val="en-GB"/>
        </w:rPr>
        <w:t>.</w:t>
      </w:r>
      <w:r w:rsidRPr="00722918">
        <w:rPr>
          <w:rFonts w:ascii="Times New Roman" w:hAnsi="Times New Roman" w:cs="Times New Roman"/>
          <w:sz w:val="24"/>
          <w:lang w:val="en-GB" w:eastAsia="en-GB"/>
        </w:rPr>
        <w:t xml:space="preserve"> </w:t>
      </w:r>
    </w:p>
    <w:p w14:paraId="23AE9B84" w14:textId="77777777" w:rsidR="00B26DA9" w:rsidRPr="009027D9" w:rsidRDefault="007E28F1" w:rsidP="009027D9">
      <w:pPr>
        <w:spacing w:after="12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Eleven years after</w:t>
      </w:r>
      <w:r w:rsidR="00B26D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the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entry into force</w:t>
      </w:r>
      <w:r w:rsidR="00E0194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of the Arms Trade Treaty</w:t>
      </w:r>
      <w:r w:rsidR="00C9451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26DA9" w:rsidRPr="009027D9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371010" w:rsidRPr="009027D9">
        <w:rPr>
          <w:rStyle w:val="markedcontent"/>
          <w:rFonts w:ascii="Times New Roman" w:hAnsi="Times New Roman" w:cs="Times New Roman"/>
          <w:sz w:val="24"/>
          <w:szCs w:val="24"/>
        </w:rPr>
        <w:t>he EU reaffirm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371010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its </w:t>
      </w:r>
      <w:r w:rsidR="00E01949" w:rsidRPr="009027D9">
        <w:rPr>
          <w:rStyle w:val="markedcontent"/>
          <w:rFonts w:ascii="Times New Roman" w:hAnsi="Times New Roman" w:cs="Times New Roman"/>
          <w:sz w:val="24"/>
          <w:szCs w:val="24"/>
        </w:rPr>
        <w:t>unwavering</w:t>
      </w:r>
      <w:r w:rsidR="00371010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su</w:t>
      </w:r>
      <w:r w:rsidR="00956AEB" w:rsidRPr="009027D9">
        <w:rPr>
          <w:rStyle w:val="markedcontent"/>
          <w:rFonts w:ascii="Times New Roman" w:hAnsi="Times New Roman" w:cs="Times New Roman"/>
          <w:sz w:val="24"/>
          <w:szCs w:val="24"/>
        </w:rPr>
        <w:t>pport for the Treaty,</w:t>
      </w:r>
      <w:r w:rsidR="00E01949" w:rsidRPr="009027D9">
        <w:rPr>
          <w:rFonts w:ascii="Times New Roman" w:hAnsi="Times New Roman" w:cs="Times New Roman"/>
          <w:sz w:val="24"/>
          <w:szCs w:val="24"/>
        </w:rPr>
        <w:t xml:space="preserve"> </w:t>
      </w:r>
      <w:r w:rsidR="001561D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as </w:t>
      </w:r>
      <w:r w:rsidR="00371010" w:rsidRPr="009027D9">
        <w:rPr>
          <w:rStyle w:val="markedcontent"/>
          <w:rFonts w:ascii="Times New Roman" w:hAnsi="Times New Roman" w:cs="Times New Roman"/>
          <w:sz w:val="24"/>
          <w:szCs w:val="24"/>
        </w:rPr>
        <w:t>a key international instrument</w:t>
      </w:r>
      <w:r w:rsidR="00B26D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71010" w:rsidRPr="009027D9">
        <w:rPr>
          <w:rStyle w:val="markedcontent"/>
          <w:rFonts w:ascii="Times New Roman" w:hAnsi="Times New Roman" w:cs="Times New Roman"/>
          <w:sz w:val="24"/>
          <w:szCs w:val="24"/>
        </w:rPr>
        <w:t>that aims to establish the highest possible common</w:t>
      </w:r>
      <w:r w:rsidR="00E01949" w:rsidRPr="009027D9">
        <w:rPr>
          <w:rFonts w:ascii="Times New Roman" w:hAnsi="Times New Roman" w:cs="Times New Roman"/>
          <w:sz w:val="24"/>
          <w:szCs w:val="24"/>
        </w:rPr>
        <w:t xml:space="preserve"> </w:t>
      </w:r>
      <w:r w:rsidR="00371010" w:rsidRPr="009027D9">
        <w:rPr>
          <w:rStyle w:val="markedcontent"/>
          <w:rFonts w:ascii="Times New Roman" w:hAnsi="Times New Roman" w:cs="Times New Roman"/>
          <w:sz w:val="24"/>
          <w:szCs w:val="24"/>
        </w:rPr>
        <w:t>international standards</w:t>
      </w:r>
      <w:r w:rsidR="00B26D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71010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for regulating </w:t>
      </w:r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>trade in conventional arms.</w:t>
      </w:r>
    </w:p>
    <w:p w14:paraId="7C90D6DD" w14:textId="43D96E82" w:rsidR="00B26DA9" w:rsidRPr="009027D9" w:rsidRDefault="00B26DA9" w:rsidP="009027D9">
      <w:pPr>
        <w:spacing w:after="12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We recognize </w:t>
      </w:r>
      <w:r w:rsidR="00953DD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complementary role of the Treaty to other international instruments, such as the UN Programme of Action on SALW, the International Tracing Instrument</w:t>
      </w:r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, the UN Register of Conventional Arms, and the Global Framework on Through-Life Conventional Ammunition Management. At the same time, the ATT is unique in being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the only cross-regional legally binding source of standards</w:t>
      </w:r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to</w:t>
      </w:r>
      <w:r w:rsidR="00801FA9" w:rsidRPr="009027D9">
        <w:rPr>
          <w:rFonts w:ascii="Times New Roman" w:hAnsi="Times New Roman" w:cs="Times New Roman"/>
          <w:sz w:val="24"/>
          <w:szCs w:val="24"/>
        </w:rPr>
        <w:t xml:space="preserve"> </w:t>
      </w:r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prevent and eradicate the illicit trade, </w:t>
      </w:r>
      <w:r w:rsidR="00281E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as well as to </w:t>
      </w:r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prevent </w:t>
      </w:r>
      <w:proofErr w:type="gramStart"/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>misuse</w:t>
      </w:r>
      <w:proofErr w:type="gramEnd"/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and diversion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of arms</w:t>
      </w:r>
      <w:r w:rsidR="00801FA9" w:rsidRPr="009027D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B8FDA2A" w14:textId="3A3376D9" w:rsidR="0019246E" w:rsidRPr="009027D9" w:rsidRDefault="00A377E1" w:rsidP="009027D9">
      <w:pPr>
        <w:spacing w:after="12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We are all bound to </w:t>
      </w:r>
      <w:r w:rsidR="00953DD4" w:rsidRPr="009027D9">
        <w:rPr>
          <w:rStyle w:val="markedcontent"/>
          <w:rFonts w:ascii="Times New Roman" w:hAnsi="Times New Roman" w:cs="Times New Roman"/>
          <w:sz w:val="24"/>
          <w:szCs w:val="24"/>
        </w:rPr>
        <w:t>ensure and maintain the effectiveness of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the ATT,</w:t>
      </w:r>
      <w:r w:rsidR="00B63793" w:rsidRPr="009027D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supported </w:t>
      </w:r>
      <w:r w:rsidR="00B67428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and advised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by the ATT </w:t>
      </w:r>
      <w:r w:rsidR="00B67428" w:rsidRPr="009027D9">
        <w:rPr>
          <w:rStyle w:val="markedcontent"/>
          <w:rFonts w:ascii="Times New Roman" w:hAnsi="Times New Roman" w:cs="Times New Roman"/>
          <w:sz w:val="24"/>
          <w:szCs w:val="24"/>
        </w:rPr>
        <w:t>community, bringing together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States Parties and other stakeholders: international and regional organizations, industry and business, academia, and</w:t>
      </w:r>
      <w:r w:rsidR="00953DD4" w:rsidRPr="009027D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above all</w:t>
      </w:r>
      <w:r w:rsidR="00953DD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civil society. </w:t>
      </w:r>
    </w:p>
    <w:p w14:paraId="38B15D18" w14:textId="442A78A0" w:rsidR="0019246E" w:rsidRPr="009027D9" w:rsidRDefault="0019246E" w:rsidP="009027D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r w:rsidR="00FC3F76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EU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is aware of its </w:t>
      </w:r>
      <w:r w:rsidR="00E45BBC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Member States’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global responsibilities in </w:t>
      </w:r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r w:rsidR="00B63793" w:rsidRPr="009027D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arms trade, 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with over </w:t>
      </w:r>
      <w:r w:rsidR="001425ED" w:rsidRPr="009027D9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5ED" w:rsidRPr="009027D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>00 licences issued in 2023 for a</w:t>
      </w:r>
      <w:r w:rsidR="001425ED"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 combined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 value of </w:t>
      </w:r>
      <w:r w:rsidR="001425ED" w:rsidRPr="009027D9">
        <w:rPr>
          <w:rFonts w:ascii="Times New Roman" w:hAnsi="Times New Roman" w:cs="Times New Roman"/>
          <w:color w:val="000000"/>
          <w:sz w:val="24"/>
          <w:szCs w:val="24"/>
        </w:rPr>
        <w:t>almost 300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 billion</w:t>
      </w:r>
      <w:r w:rsidR="001425ED"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, and actual exports accounting for a quarter of </w:t>
      </w:r>
      <w:r w:rsidR="00B63793"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>global arms trade.</w:t>
      </w:r>
    </w:p>
    <w:p w14:paraId="074D2169" w14:textId="3FD859EA" w:rsidR="00B67428" w:rsidRPr="009027D9" w:rsidRDefault="004019A9" w:rsidP="009027D9">
      <w:pPr>
        <w:spacing w:after="12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We are proud to keep the ATT high on the political agenda, supporting it in international fora, funding support for its universalization and implementation, and keeping the Treaty as a centrepiece of the EU Common Position on arms export and the legal frameworks of Member States, thereby developing a collective approach to the implementation of the Treaty. </w:t>
      </w:r>
      <w:r w:rsidR="00B67428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EU Common Position on arms exports was updated in </w:t>
      </w:r>
      <w:r w:rsidR="001425ED" w:rsidRPr="009027D9">
        <w:rPr>
          <w:rStyle w:val="markedcontent"/>
          <w:rFonts w:ascii="Times New Roman" w:hAnsi="Times New Roman" w:cs="Times New Roman"/>
          <w:sz w:val="24"/>
          <w:szCs w:val="24"/>
        </w:rPr>
        <w:t>April this year. O</w:t>
      </w:r>
      <w:r w:rsidR="00B67428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ne of </w:t>
      </w:r>
      <w:r w:rsidR="00953DD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="00B67428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priorities 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of its 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review process </w:t>
      </w:r>
      <w:r w:rsidR="00B67428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was to 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embed </w:t>
      </w:r>
      <w:r w:rsidR="0019246E" w:rsidRPr="009027D9">
        <w:rPr>
          <w:rStyle w:val="markedcontent"/>
          <w:rFonts w:ascii="Times New Roman" w:hAnsi="Times New Roman" w:cs="Times New Roman"/>
          <w:sz w:val="24"/>
          <w:szCs w:val="24"/>
        </w:rPr>
        <w:t>more closely the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ATT obligations </w:t>
      </w:r>
      <w:r w:rsidR="001425ED" w:rsidRPr="009027D9">
        <w:rPr>
          <w:rStyle w:val="markedcontent"/>
          <w:rFonts w:ascii="Times New Roman" w:hAnsi="Times New Roman" w:cs="Times New Roman"/>
          <w:sz w:val="24"/>
          <w:szCs w:val="24"/>
        </w:rPr>
        <w:t>in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53DD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day-to-day licensing </w:t>
      </w:r>
      <w:r w:rsidR="0019246E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practices 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of Member States. </w:t>
      </w:r>
      <w:r w:rsidR="00281EA9" w:rsidRPr="009027D9">
        <w:rPr>
          <w:rStyle w:val="markedcontent"/>
          <w:rFonts w:ascii="Times New Roman" w:hAnsi="Times New Roman" w:cs="Times New Roman"/>
          <w:sz w:val="24"/>
          <w:szCs w:val="24"/>
        </w:rPr>
        <w:t>Core provisions</w:t>
      </w:r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>, concepts and understandings</w:t>
      </w:r>
      <w:r w:rsidR="00281EA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>from the ATT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5D6D8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such as </w:t>
      </w:r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relation between conventional arms and </w:t>
      </w:r>
      <w:r w:rsidR="005D6D85" w:rsidRPr="009027D9">
        <w:rPr>
          <w:rStyle w:val="markedcontent"/>
          <w:rFonts w:ascii="Times New Roman" w:hAnsi="Times New Roman" w:cs="Times New Roman"/>
          <w:sz w:val="24"/>
          <w:szCs w:val="24"/>
        </w:rPr>
        <w:t>gender-based v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>iolence</w:t>
      </w:r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>GBV</w:t>
      </w:r>
      <w:proofErr w:type="spellEnd"/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19246E" w:rsidRPr="009027D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or the use of military equipment to commit or facilitate serious violations of human rights</w:t>
      </w:r>
      <w:r w:rsidR="00417A2D" w:rsidRPr="009027D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>law</w:t>
      </w:r>
      <w:r w:rsidR="00B63793" w:rsidRPr="009027D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>and IHL</w:t>
      </w:r>
      <w:r w:rsidR="0019246E" w:rsidRPr="009027D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have become part of the denial criteria </w:t>
      </w:r>
      <w:r w:rsidR="00E45BBC" w:rsidRPr="009027D9">
        <w:rPr>
          <w:rFonts w:ascii="Times New Roman" w:hAnsi="Times New Roman" w:cs="Times New Roman"/>
          <w:sz w:val="24"/>
          <w:szCs w:val="24"/>
        </w:rPr>
        <w:t>of the EU Common Position</w:t>
      </w:r>
      <w:r w:rsidR="005D6D85" w:rsidRPr="009027D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>These</w:t>
      </w:r>
      <w:r w:rsidR="005D6D8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are </w:t>
      </w:r>
      <w:r w:rsidR="00B63793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also 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>now applicable even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beyond the scope of the Treaty, to cover the entire EU Common Military List, also applicable in certain cases to dual-use goods</w:t>
      </w:r>
      <w:r w:rsidR="002A712B" w:rsidRPr="009027D9">
        <w:rPr>
          <w:rFonts w:ascii="Times New Roman" w:hAnsi="Times New Roman" w:cs="Times New Roman"/>
          <w:sz w:val="24"/>
          <w:szCs w:val="24"/>
        </w:rPr>
        <w:t>, by all EU Member States</w:t>
      </w:r>
      <w:r w:rsidR="00417A2D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806E1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EU </w:t>
      </w:r>
      <w:r w:rsidR="00FB3902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also </w:t>
      </w:r>
      <w:r w:rsidR="00B806E1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continues to exercise and promote transparency in arms trade, publishing its own annual report in </w:t>
      </w:r>
      <w:r w:rsidR="00953DD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an </w:t>
      </w:r>
      <w:r w:rsidR="00B806E1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accessible online form, </w:t>
      </w:r>
      <w:r w:rsidR="005437CF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in </w:t>
      </w:r>
      <w:r w:rsidR="00B806E1" w:rsidRPr="009027D9">
        <w:rPr>
          <w:rStyle w:val="markedcontent"/>
          <w:rFonts w:ascii="Times New Roman" w:hAnsi="Times New Roman" w:cs="Times New Roman"/>
          <w:sz w:val="24"/>
          <w:szCs w:val="24"/>
        </w:rPr>
        <w:t>compliance with ATT reporting obligations.</w:t>
      </w:r>
    </w:p>
    <w:p w14:paraId="35077BC2" w14:textId="77777777" w:rsidR="00FB3902" w:rsidRPr="007E28F1" w:rsidRDefault="00FB3902" w:rsidP="009027D9">
      <w:pPr>
        <w:spacing w:after="120" w:line="276" w:lineRule="auto"/>
        <w:ind w:left="-74" w:firstLine="7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E28F1">
        <w:rPr>
          <w:rStyle w:val="markedcontent"/>
          <w:rFonts w:ascii="Times New Roman" w:hAnsi="Times New Roman" w:cs="Times New Roman"/>
          <w:sz w:val="24"/>
          <w:szCs w:val="24"/>
        </w:rPr>
        <w:t>Mr. President,</w:t>
      </w:r>
    </w:p>
    <w:p w14:paraId="7B23874E" w14:textId="0E87CEFC" w:rsidR="009D69B1" w:rsidRPr="009027D9" w:rsidRDefault="00FB3902" w:rsidP="009027D9">
      <w:pPr>
        <w:spacing w:after="12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As </w:t>
      </w:r>
      <w:r w:rsidR="005D6D8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regards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ATT implementation and adherence </w:t>
      </w:r>
      <w:r w:rsidR="00663DD1" w:rsidRPr="009027D9">
        <w:rPr>
          <w:rStyle w:val="markedcontent"/>
          <w:rFonts w:ascii="Times New Roman" w:hAnsi="Times New Roman" w:cs="Times New Roman"/>
          <w:sz w:val="24"/>
          <w:szCs w:val="24"/>
        </w:rPr>
        <w:t>progresses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, an impressive</w:t>
      </w:r>
      <w:r w:rsidR="005437CF" w:rsidRPr="009027D9">
        <w:rPr>
          <w:rStyle w:val="markedcontent"/>
          <w:rFonts w:ascii="Times New Roman" w:hAnsi="Times New Roman" w:cs="Times New Roman"/>
          <w:sz w:val="24"/>
          <w:szCs w:val="24"/>
        </w:rPr>
        <w:t>, rigorous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5676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effort </w:t>
      </w:r>
      <w:r w:rsidR="00663DD1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has been </w:t>
      </w:r>
      <w:r w:rsidR="00B45676" w:rsidRPr="009027D9">
        <w:rPr>
          <w:rStyle w:val="markedcontent"/>
          <w:rFonts w:ascii="Times New Roman" w:hAnsi="Times New Roman" w:cs="Times New Roman"/>
          <w:sz w:val="24"/>
          <w:szCs w:val="24"/>
        </w:rPr>
        <w:t>made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within the framework of </w:t>
      </w:r>
      <w:proofErr w:type="spellStart"/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CSP</w:t>
      </w:r>
      <w:proofErr w:type="spellEnd"/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cycles to 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support it, </w:t>
      </w:r>
      <w:r w:rsidR="005D6D8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but 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>a significant amount of work remains to be done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9D69B1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All 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States Parties need to 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become capable of 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>deliver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ing 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on their legal obligations, including 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measures against diversion, </w:t>
      </w:r>
      <w:r w:rsidR="00405AFB" w:rsidRPr="009027D9">
        <w:rPr>
          <w:rStyle w:val="markedcontent"/>
          <w:rFonts w:ascii="Times New Roman" w:hAnsi="Times New Roman" w:cs="Times New Roman"/>
          <w:sz w:val="24"/>
          <w:szCs w:val="24"/>
        </w:rPr>
        <w:t>reporting and financial contributions</w:t>
      </w:r>
      <w:r w:rsidR="005437CF" w:rsidRPr="009027D9">
        <w:rPr>
          <w:rStyle w:val="markedcontent"/>
          <w:rFonts w:ascii="Times New Roman" w:hAnsi="Times New Roman" w:cs="Times New Roman"/>
          <w:sz w:val="24"/>
          <w:szCs w:val="24"/>
        </w:rPr>
        <w:t>, and export assessment</w:t>
      </w:r>
      <w:r w:rsidR="009D69B1" w:rsidRPr="009027D9">
        <w:rPr>
          <w:rStyle w:val="markedcontent"/>
          <w:rFonts w:ascii="Times New Roman" w:hAnsi="Times New Roman" w:cs="Times New Roman"/>
          <w:sz w:val="24"/>
          <w:szCs w:val="24"/>
        </w:rPr>
        <w:t>. To achieve this, a multi-year strategy would be a promising initiative</w:t>
      </w:r>
      <w:r w:rsidR="0037357C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if goals are clear and measurable</w:t>
      </w:r>
      <w:r w:rsidR="009D69B1" w:rsidRPr="009027D9">
        <w:rPr>
          <w:rStyle w:val="markedcontent"/>
          <w:rFonts w:ascii="Times New Roman" w:hAnsi="Times New Roman" w:cs="Times New Roman"/>
          <w:sz w:val="24"/>
          <w:szCs w:val="24"/>
        </w:rPr>
        <w:t>. We look forward to discussing it further during this Conference and hopefully beyond.</w:t>
      </w:r>
    </w:p>
    <w:p w14:paraId="1D0AC6A1" w14:textId="03F63D47" w:rsidR="00D46F7E" w:rsidRPr="009027D9" w:rsidRDefault="0037357C" w:rsidP="009027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>But</w:t>
      </w:r>
      <w:r w:rsidR="00663DD1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above all, 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46F7E"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e cannot stay silent about </w:t>
      </w:r>
      <w:r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ongoing </w:t>
      </w:r>
      <w:r w:rsidR="00D46F7E"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tragic developments linked to the ATT’s subject matter and we must work to ensure the Treaty is fully and effectively implemented. </w:t>
      </w:r>
    </w:p>
    <w:p w14:paraId="4172DBBD" w14:textId="75A539EC" w:rsidR="00C27FAB" w:rsidRPr="009027D9" w:rsidRDefault="006E36AE" w:rsidP="009027D9">
      <w:pPr>
        <w:spacing w:after="12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27D9">
        <w:rPr>
          <w:rFonts w:ascii="Times New Roman" w:hAnsi="Times New Roman" w:cs="Times New Roman"/>
          <w:sz w:val="24"/>
          <w:szCs w:val="24"/>
        </w:rPr>
        <w:t xml:space="preserve">Now in its fourth </w:t>
      </w:r>
      <w:r w:rsidR="00EE692C" w:rsidRPr="009027D9">
        <w:rPr>
          <w:rFonts w:ascii="Times New Roman" w:hAnsi="Times New Roman" w:cs="Times New Roman"/>
          <w:sz w:val="24"/>
          <w:szCs w:val="24"/>
        </w:rPr>
        <w:t xml:space="preserve">year of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unprovoked, 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unjustified </w:t>
      </w: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and illegal 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war of aggression against Ukraine, </w:t>
      </w:r>
      <w:r w:rsidR="00EE692C" w:rsidRPr="009027D9">
        <w:rPr>
          <w:rStyle w:val="markedcontent"/>
          <w:rFonts w:ascii="Times New Roman" w:hAnsi="Times New Roman" w:cs="Times New Roman"/>
          <w:sz w:val="24"/>
          <w:szCs w:val="24"/>
        </w:rPr>
        <w:t>Russia continues to b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>latant</w:t>
      </w:r>
      <w:r w:rsidR="00EE692C" w:rsidRPr="009027D9">
        <w:rPr>
          <w:rStyle w:val="markedcontent"/>
          <w:rFonts w:ascii="Times New Roman" w:hAnsi="Times New Roman" w:cs="Times New Roman"/>
          <w:sz w:val="24"/>
          <w:szCs w:val="24"/>
        </w:rPr>
        <w:t>ly violate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international law, including the UN Charter</w:t>
      </w:r>
      <w:r w:rsidR="00A11D6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C7656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and </w:t>
      </w:r>
      <w:r w:rsidR="009027D9">
        <w:rPr>
          <w:rStyle w:val="markedcontent"/>
          <w:rFonts w:ascii="Times New Roman" w:hAnsi="Times New Roman" w:cs="Times New Roman"/>
          <w:sz w:val="24"/>
          <w:szCs w:val="24"/>
        </w:rPr>
        <w:t>international humanitarian l</w:t>
      </w:r>
      <w:r w:rsidR="00A11D65" w:rsidRPr="009027D9">
        <w:rPr>
          <w:rStyle w:val="markedcontent"/>
          <w:rFonts w:ascii="Times New Roman" w:hAnsi="Times New Roman" w:cs="Times New Roman"/>
          <w:sz w:val="24"/>
          <w:szCs w:val="24"/>
        </w:rPr>
        <w:t>aw</w:t>
      </w:r>
      <w:r w:rsidR="00C27FA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65165E" w:rsidRPr="009027D9">
        <w:rPr>
          <w:rFonts w:ascii="Times New Roman" w:hAnsi="Times New Roman" w:cs="Times New Roman"/>
          <w:color w:val="000000"/>
          <w:sz w:val="24"/>
          <w:szCs w:val="24"/>
        </w:rPr>
        <w:t>In this light,</w:t>
      </w:r>
      <w:r w:rsidR="0065165E" w:rsidRPr="00902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5165E" w:rsidRPr="009027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5165E" w:rsidRPr="009027D9">
        <w:rPr>
          <w:rFonts w:ascii="Times New Roman" w:hAnsi="Times New Roman" w:cs="Times New Roman"/>
          <w:sz w:val="24"/>
          <w:szCs w:val="24"/>
        </w:rPr>
        <w:t xml:space="preserve">EU </w:t>
      </w:r>
      <w:r w:rsidR="0065165E" w:rsidRPr="009027D9">
        <w:rPr>
          <w:rFonts w:ascii="Times New Roman" w:hAnsi="Times New Roman" w:cs="Times New Roman"/>
          <w:bCs/>
          <w:sz w:val="24"/>
          <w:szCs w:val="24"/>
        </w:rPr>
        <w:t>condemns in the strongest possible terms Russia’s use of various types of conventional weapons</w:t>
      </w:r>
      <w:r w:rsidR="0065165E" w:rsidRPr="009027D9">
        <w:rPr>
          <w:rFonts w:ascii="Times New Roman" w:hAnsi="Times New Roman" w:cs="Times New Roman"/>
          <w:sz w:val="24"/>
          <w:szCs w:val="24"/>
        </w:rPr>
        <w:t xml:space="preserve"> against civilians in its war of aggression against Ukraine</w:t>
      </w:r>
      <w:r w:rsidR="0065165E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FC3F76" w:rsidRPr="009027D9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ilitary support to Ukraine </w:t>
      </w:r>
      <w:r w:rsidR="00D46F7E" w:rsidRPr="009027D9">
        <w:rPr>
          <w:rStyle w:val="markedcontent"/>
          <w:rFonts w:ascii="Times New Roman" w:hAnsi="Times New Roman" w:cs="Times New Roman"/>
          <w:sz w:val="24"/>
          <w:szCs w:val="24"/>
        </w:rPr>
        <w:t>as necessary for the exercise of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its rig</w:t>
      </w:r>
      <w:r w:rsidR="00D46F7E" w:rsidRPr="009027D9">
        <w:rPr>
          <w:rStyle w:val="markedcontent"/>
          <w:rFonts w:ascii="Times New Roman" w:hAnsi="Times New Roman" w:cs="Times New Roman"/>
          <w:sz w:val="24"/>
          <w:szCs w:val="24"/>
        </w:rPr>
        <w:t>ht to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self-defence </w:t>
      </w:r>
      <w:r w:rsidR="00D46F7E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is </w:t>
      </w:r>
      <w:r w:rsidR="00E6141B" w:rsidRPr="009027D9">
        <w:rPr>
          <w:rStyle w:val="markedcontent"/>
          <w:rFonts w:ascii="Times New Roman" w:hAnsi="Times New Roman" w:cs="Times New Roman"/>
          <w:sz w:val="24"/>
          <w:szCs w:val="24"/>
        </w:rPr>
        <w:t>consistent with the Treaty</w:t>
      </w:r>
      <w:r w:rsidR="00D46F7E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. On the contrary, 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contribution </w:t>
      </w:r>
      <w:r w:rsidR="00663DD1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towards Russia’s 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>military effort by diversion or supply of parts and components, including items which are turned in Russia</w:t>
      </w:r>
      <w:r w:rsidR="005437CF" w:rsidRPr="009027D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6141B" w:rsidRPr="009027D9">
        <w:rPr>
          <w:rStyle w:val="markedcontent"/>
          <w:rFonts w:ascii="Times New Roman" w:hAnsi="Times New Roman" w:cs="Times New Roman"/>
          <w:sz w:val="24"/>
          <w:szCs w:val="24"/>
        </w:rPr>
        <w:t>on an industrial scale</w:t>
      </w:r>
      <w:r w:rsidR="005437CF" w:rsidRPr="009027D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E6141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into components of </w:t>
      </w:r>
      <w:r w:rsidR="00E6141B" w:rsidRPr="009027D9">
        <w:rPr>
          <w:rStyle w:val="markedcontent"/>
          <w:rFonts w:ascii="Times New Roman" w:hAnsi="Times New Roman" w:cs="Times New Roman"/>
          <w:sz w:val="24"/>
          <w:szCs w:val="24"/>
        </w:rPr>
        <w:t>missiles and drones used for strikes against civilians and civilian</w:t>
      </w:r>
      <w:r w:rsidR="00FC3F76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objects</w:t>
      </w:r>
      <w:r w:rsidR="00E6141B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of Ukraine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>, is a violation of</w:t>
      </w:r>
      <w:r w:rsidR="0037357C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Article 6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E629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of </w:t>
      </w:r>
      <w:r w:rsidR="00116284" w:rsidRPr="009027D9">
        <w:rPr>
          <w:rStyle w:val="markedcontent"/>
          <w:rFonts w:ascii="Times New Roman" w:hAnsi="Times New Roman" w:cs="Times New Roman"/>
          <w:sz w:val="24"/>
          <w:szCs w:val="24"/>
        </w:rPr>
        <w:t>the Treaty.</w:t>
      </w:r>
      <w:r w:rsidR="00D46F7E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No actor involved in such </w:t>
      </w:r>
      <w:r w:rsidR="007335B9" w:rsidRPr="009027D9">
        <w:rPr>
          <w:rStyle w:val="markedcontent"/>
          <w:rFonts w:ascii="Times New Roman" w:hAnsi="Times New Roman" w:cs="Times New Roman"/>
          <w:sz w:val="24"/>
          <w:szCs w:val="24"/>
        </w:rPr>
        <w:t>support for an aggressor S</w:t>
      </w:r>
      <w:r w:rsidR="0037357C" w:rsidRPr="009027D9">
        <w:rPr>
          <w:rStyle w:val="markedcontent"/>
          <w:rFonts w:ascii="Times New Roman" w:hAnsi="Times New Roman" w:cs="Times New Roman"/>
          <w:sz w:val="24"/>
          <w:szCs w:val="24"/>
        </w:rPr>
        <w:t>tate</w:t>
      </w:r>
      <w:r w:rsidR="00D46F7E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can call itself impartial and supportive of peace.</w:t>
      </w:r>
    </w:p>
    <w:p w14:paraId="6E64C5E9" w14:textId="77BB708B" w:rsidR="00DD6F5B" w:rsidRPr="009027D9" w:rsidRDefault="00D01CE5" w:rsidP="009027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The EU </w:t>
      </w:r>
      <w:r w:rsidRPr="009027D9">
        <w:rPr>
          <w:rFonts w:ascii="Times New Roman" w:hAnsi="Times New Roman" w:cs="Times New Roman"/>
          <w:sz w:val="24"/>
          <w:szCs w:val="24"/>
        </w:rPr>
        <w:t xml:space="preserve">calls for an immediate ceasefire in Gaza and the unconditional release of all hostages, leading to a permanent end to hostilities. It deplores the dire humanitarian situation in Gaza, the unacceptable number of civilian casualties and the levels of starvation. </w:t>
      </w:r>
      <w:r w:rsidR="00384AF4" w:rsidRPr="009027D9">
        <w:rPr>
          <w:rFonts w:ascii="Times New Roman" w:hAnsi="Times New Roman" w:cs="Times New Roman"/>
          <w:sz w:val="24"/>
          <w:szCs w:val="24"/>
        </w:rPr>
        <w:t>Israel must fully comply with its obligations unde</w:t>
      </w:r>
      <w:r w:rsidR="009027D9">
        <w:rPr>
          <w:rFonts w:ascii="Times New Roman" w:hAnsi="Times New Roman" w:cs="Times New Roman"/>
          <w:sz w:val="24"/>
          <w:szCs w:val="24"/>
        </w:rPr>
        <w:t>r international law, including international h</w:t>
      </w:r>
      <w:r w:rsidR="00384AF4" w:rsidRPr="009027D9">
        <w:rPr>
          <w:rFonts w:ascii="Times New Roman" w:hAnsi="Times New Roman" w:cs="Times New Roman"/>
          <w:sz w:val="24"/>
          <w:szCs w:val="24"/>
        </w:rPr>
        <w:t>umanitarian law.</w:t>
      </w:r>
    </w:p>
    <w:p w14:paraId="2B097D32" w14:textId="77777777" w:rsidR="006B68B4" w:rsidRPr="007E28F1" w:rsidRDefault="00732A4F" w:rsidP="009027D9">
      <w:pPr>
        <w:spacing w:after="120" w:line="276" w:lineRule="auto"/>
        <w:ind w:left="-74" w:firstLine="7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E28F1">
        <w:rPr>
          <w:rStyle w:val="markedcontent"/>
          <w:rFonts w:ascii="Times New Roman" w:hAnsi="Times New Roman" w:cs="Times New Roman"/>
          <w:sz w:val="24"/>
          <w:szCs w:val="24"/>
        </w:rPr>
        <w:t>Mr. President,</w:t>
      </w:r>
    </w:p>
    <w:p w14:paraId="2614C341" w14:textId="535410A1" w:rsidR="0002640F" w:rsidRPr="009027D9" w:rsidRDefault="001561D5" w:rsidP="009027D9">
      <w:pPr>
        <w:spacing w:after="12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Let me conclude by underlining the </w:t>
      </w:r>
      <w:r w:rsidR="007552C0" w:rsidRPr="009027D9">
        <w:rPr>
          <w:rStyle w:val="markedcontent"/>
          <w:rFonts w:ascii="Times New Roman" w:hAnsi="Times New Roman" w:cs="Times New Roman"/>
          <w:sz w:val="24"/>
          <w:szCs w:val="24"/>
        </w:rPr>
        <w:t>EU</w:t>
      </w:r>
      <w:r w:rsidR="004B0430" w:rsidRPr="009027D9">
        <w:rPr>
          <w:rStyle w:val="markedcontent"/>
          <w:rFonts w:ascii="Times New Roman" w:hAnsi="Times New Roman" w:cs="Times New Roman"/>
          <w:sz w:val="24"/>
          <w:szCs w:val="24"/>
        </w:rPr>
        <w:t>’s full support</w:t>
      </w:r>
      <w:r w:rsidR="007333B9" w:rsidRPr="009027D9">
        <w:rPr>
          <w:rFonts w:ascii="Times New Roman" w:hAnsi="Times New Roman" w:cs="Times New Roman"/>
          <w:sz w:val="24"/>
          <w:szCs w:val="24"/>
        </w:rPr>
        <w:t xml:space="preserve"> </w:t>
      </w:r>
      <w:r w:rsidR="007552C0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for the </w:t>
      </w:r>
      <w:r w:rsidR="00520B27" w:rsidRPr="009027D9">
        <w:rPr>
          <w:rStyle w:val="markedcontent"/>
          <w:rFonts w:ascii="Times New Roman" w:hAnsi="Times New Roman" w:cs="Times New Roman"/>
          <w:sz w:val="24"/>
          <w:szCs w:val="24"/>
        </w:rPr>
        <w:t>Argentinian</w:t>
      </w:r>
      <w:r w:rsidR="007552C0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 Presidency, </w:t>
      </w:r>
      <w:r w:rsidR="00C9451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including on its focus topic of </w:t>
      </w:r>
      <w:r w:rsidR="00520B27" w:rsidRPr="009027D9">
        <w:rPr>
          <w:rStyle w:val="markedcontent"/>
          <w:rFonts w:ascii="Times New Roman" w:hAnsi="Times New Roman" w:cs="Times New Roman"/>
          <w:sz w:val="24"/>
          <w:szCs w:val="24"/>
        </w:rPr>
        <w:t>universalization</w:t>
      </w:r>
      <w:r w:rsidR="00C94515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7552C0" w:rsidRPr="009027D9">
        <w:rPr>
          <w:rStyle w:val="markedcontent"/>
          <w:rFonts w:ascii="Times New Roman" w:hAnsi="Times New Roman" w:cs="Times New Roman"/>
          <w:sz w:val="24"/>
          <w:szCs w:val="24"/>
        </w:rPr>
        <w:t>and</w:t>
      </w:r>
      <w:r w:rsidR="007552C0" w:rsidRPr="009027D9">
        <w:rPr>
          <w:rFonts w:ascii="Times New Roman" w:hAnsi="Times New Roman" w:cs="Times New Roman"/>
          <w:sz w:val="24"/>
          <w:szCs w:val="24"/>
        </w:rPr>
        <w:t xml:space="preserve"> </w:t>
      </w:r>
      <w:r w:rsidR="00C96D49" w:rsidRPr="009027D9">
        <w:rPr>
          <w:rFonts w:ascii="Times New Roman" w:hAnsi="Times New Roman" w:cs="Times New Roman"/>
          <w:sz w:val="24"/>
          <w:szCs w:val="24"/>
        </w:rPr>
        <w:t xml:space="preserve">our commitment </w:t>
      </w:r>
      <w:r w:rsidR="007552C0" w:rsidRPr="009027D9">
        <w:rPr>
          <w:rStyle w:val="markedcontent"/>
          <w:rFonts w:ascii="Times New Roman" w:hAnsi="Times New Roman" w:cs="Times New Roman"/>
          <w:sz w:val="24"/>
          <w:szCs w:val="24"/>
        </w:rPr>
        <w:t>to work</w:t>
      </w:r>
      <w:r w:rsidR="00C96D49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ing together towards its </w:t>
      </w:r>
      <w:r w:rsidR="007552C0" w:rsidRPr="009027D9">
        <w:rPr>
          <w:rStyle w:val="markedcontent"/>
          <w:rFonts w:ascii="Times New Roman" w:hAnsi="Times New Roman" w:cs="Times New Roman"/>
          <w:sz w:val="24"/>
          <w:szCs w:val="24"/>
        </w:rPr>
        <w:t xml:space="preserve">successful outcome. </w:t>
      </w:r>
    </w:p>
    <w:p w14:paraId="05935129" w14:textId="77777777" w:rsidR="00DD4A2C" w:rsidRPr="00775DE2" w:rsidRDefault="00C70102" w:rsidP="007335B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DE2">
        <w:rPr>
          <w:rFonts w:ascii="Times New Roman" w:hAnsi="Times New Roman" w:cs="Times New Roman"/>
          <w:sz w:val="24"/>
          <w:szCs w:val="24"/>
        </w:rPr>
        <w:t>Thank you</w:t>
      </w:r>
      <w:r w:rsidR="00520B27">
        <w:rPr>
          <w:rFonts w:ascii="Times New Roman" w:hAnsi="Times New Roman" w:cs="Times New Roman"/>
          <w:sz w:val="24"/>
          <w:szCs w:val="24"/>
        </w:rPr>
        <w:t>.</w:t>
      </w:r>
      <w:r w:rsidR="00A566EC" w:rsidRPr="00775D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4A2C" w:rsidRPr="00775DE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B8AC" w14:textId="77777777" w:rsidR="007A3A3C" w:rsidRDefault="007A3A3C" w:rsidP="008A3907">
      <w:pPr>
        <w:spacing w:after="0" w:line="240" w:lineRule="auto"/>
      </w:pPr>
      <w:r>
        <w:separator/>
      </w:r>
    </w:p>
  </w:endnote>
  <w:endnote w:type="continuationSeparator" w:id="0">
    <w:p w14:paraId="1431EA62" w14:textId="77777777" w:rsidR="007A3A3C" w:rsidRDefault="007A3A3C" w:rsidP="008A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543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F71F6" w14:textId="40BF1BCE" w:rsidR="008A3907" w:rsidRDefault="008A39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3B8AA" w14:textId="77777777" w:rsidR="008A3907" w:rsidRDefault="008A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ECE1" w14:textId="77777777" w:rsidR="007A3A3C" w:rsidRDefault="007A3A3C" w:rsidP="008A3907">
      <w:pPr>
        <w:spacing w:after="0" w:line="240" w:lineRule="auto"/>
      </w:pPr>
      <w:r>
        <w:separator/>
      </w:r>
    </w:p>
  </w:footnote>
  <w:footnote w:type="continuationSeparator" w:id="0">
    <w:p w14:paraId="398993F8" w14:textId="77777777" w:rsidR="007A3A3C" w:rsidRDefault="007A3A3C" w:rsidP="008A3907">
      <w:pPr>
        <w:spacing w:after="0" w:line="240" w:lineRule="auto"/>
      </w:pPr>
      <w:r>
        <w:continuationSeparator/>
      </w:r>
    </w:p>
  </w:footnote>
  <w:footnote w:id="1">
    <w:p w14:paraId="47948C2E" w14:textId="224460C0" w:rsidR="00722918" w:rsidRPr="00722918" w:rsidRDefault="00722918" w:rsidP="00722918">
      <w:pPr>
        <w:pStyle w:val="FootnoteText"/>
        <w:rPr>
          <w:rFonts w:ascii="Times New Roman" w:hAnsi="Times New Roman" w:cs="Times New Roman"/>
          <w:lang w:val="en-GB" w:eastAsia="fr-BE"/>
        </w:rPr>
      </w:pPr>
      <w:r w:rsidRPr="00722918">
        <w:rPr>
          <w:rStyle w:val="FootnoteReference"/>
          <w:rFonts w:ascii="Times New Roman" w:hAnsi="Times New Roman" w:cs="Times New Roman"/>
        </w:rPr>
        <w:footnoteRef/>
      </w:r>
      <w:r w:rsidRPr="00722918">
        <w:rPr>
          <w:rFonts w:ascii="Times New Roman" w:hAnsi="Times New Roman" w:cs="Times New Roman"/>
          <w:lang w:val="en-GB"/>
        </w:rPr>
        <w:t xml:space="preserve"> </w:t>
      </w:r>
      <w:r w:rsidR="00DC71F6">
        <w:rPr>
          <w:rStyle w:val="Strong"/>
          <w:rFonts w:ascii="Times New Roman" w:hAnsi="Times New Roman" w:cs="Times New Roman"/>
          <w:b w:val="0"/>
          <w:szCs w:val="22"/>
          <w:lang w:val="en-GB"/>
        </w:rPr>
        <w:t>North Macedonia, Montenegro and</w:t>
      </w:r>
      <w:r w:rsidRPr="00722918">
        <w:rPr>
          <w:rStyle w:val="Strong"/>
          <w:rFonts w:ascii="Times New Roman" w:hAnsi="Times New Roman" w:cs="Times New Roman"/>
          <w:b w:val="0"/>
          <w:szCs w:val="22"/>
          <w:lang w:val="en-GB"/>
        </w:rPr>
        <w:t xml:space="preserve"> Albania continue to be part of the Stabilisation and Association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511"/>
    <w:multiLevelType w:val="hybridMultilevel"/>
    <w:tmpl w:val="7666A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3B48"/>
    <w:multiLevelType w:val="hybridMultilevel"/>
    <w:tmpl w:val="19703DE4"/>
    <w:lvl w:ilvl="0" w:tplc="C7E4E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4DC5"/>
    <w:multiLevelType w:val="hybridMultilevel"/>
    <w:tmpl w:val="81426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05C"/>
    <w:multiLevelType w:val="hybridMultilevel"/>
    <w:tmpl w:val="FC8C39A4"/>
    <w:lvl w:ilvl="0" w:tplc="D3DE71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C8D"/>
    <w:multiLevelType w:val="hybridMultilevel"/>
    <w:tmpl w:val="19703DE4"/>
    <w:lvl w:ilvl="0" w:tplc="C7E4E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2D0"/>
    <w:multiLevelType w:val="hybridMultilevel"/>
    <w:tmpl w:val="F9DE7AFA"/>
    <w:lvl w:ilvl="0" w:tplc="B504DC66">
      <w:start w:val="2022"/>
      <w:numFmt w:val="bullet"/>
      <w:lvlText w:val="-"/>
      <w:lvlJc w:val="left"/>
      <w:pPr>
        <w:ind w:left="36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66EC"/>
    <w:rsid w:val="00020014"/>
    <w:rsid w:val="00021081"/>
    <w:rsid w:val="0002640F"/>
    <w:rsid w:val="00061506"/>
    <w:rsid w:val="0007211A"/>
    <w:rsid w:val="000762B1"/>
    <w:rsid w:val="000A5311"/>
    <w:rsid w:val="000B6C0F"/>
    <w:rsid w:val="000C6996"/>
    <w:rsid w:val="000C710D"/>
    <w:rsid w:val="000F7A46"/>
    <w:rsid w:val="00116284"/>
    <w:rsid w:val="001425ED"/>
    <w:rsid w:val="001561D5"/>
    <w:rsid w:val="00163936"/>
    <w:rsid w:val="0019246E"/>
    <w:rsid w:val="001E5B48"/>
    <w:rsid w:val="001E6295"/>
    <w:rsid w:val="001F2E54"/>
    <w:rsid w:val="001F3EB9"/>
    <w:rsid w:val="00247E68"/>
    <w:rsid w:val="002545A5"/>
    <w:rsid w:val="00281EA9"/>
    <w:rsid w:val="002964DD"/>
    <w:rsid w:val="002A712B"/>
    <w:rsid w:val="002B3A10"/>
    <w:rsid w:val="002D18FF"/>
    <w:rsid w:val="002E59E4"/>
    <w:rsid w:val="002E622D"/>
    <w:rsid w:val="002E67D7"/>
    <w:rsid w:val="002F0A1C"/>
    <w:rsid w:val="00300C2D"/>
    <w:rsid w:val="00301ECE"/>
    <w:rsid w:val="00307735"/>
    <w:rsid w:val="003105F0"/>
    <w:rsid w:val="0032668E"/>
    <w:rsid w:val="00330387"/>
    <w:rsid w:val="00331315"/>
    <w:rsid w:val="00361C18"/>
    <w:rsid w:val="00366821"/>
    <w:rsid w:val="003679D2"/>
    <w:rsid w:val="00371010"/>
    <w:rsid w:val="0037357C"/>
    <w:rsid w:val="00384AF4"/>
    <w:rsid w:val="0038616E"/>
    <w:rsid w:val="003A38DE"/>
    <w:rsid w:val="003B4AF0"/>
    <w:rsid w:val="004019A9"/>
    <w:rsid w:val="00405AFB"/>
    <w:rsid w:val="00417A2D"/>
    <w:rsid w:val="00436B84"/>
    <w:rsid w:val="00443B75"/>
    <w:rsid w:val="004470A3"/>
    <w:rsid w:val="00450212"/>
    <w:rsid w:val="00457773"/>
    <w:rsid w:val="00486612"/>
    <w:rsid w:val="00490699"/>
    <w:rsid w:val="004B0430"/>
    <w:rsid w:val="004B1FAB"/>
    <w:rsid w:val="004C53C5"/>
    <w:rsid w:val="004E0373"/>
    <w:rsid w:val="004E6C4F"/>
    <w:rsid w:val="004F3E98"/>
    <w:rsid w:val="00505C2E"/>
    <w:rsid w:val="005065B5"/>
    <w:rsid w:val="00520B27"/>
    <w:rsid w:val="0052617C"/>
    <w:rsid w:val="00532CA7"/>
    <w:rsid w:val="005437CF"/>
    <w:rsid w:val="00545B7C"/>
    <w:rsid w:val="00546D05"/>
    <w:rsid w:val="00547868"/>
    <w:rsid w:val="005713E4"/>
    <w:rsid w:val="005921EC"/>
    <w:rsid w:val="005B5C03"/>
    <w:rsid w:val="005C3123"/>
    <w:rsid w:val="005D25A3"/>
    <w:rsid w:val="005D6D85"/>
    <w:rsid w:val="005D747D"/>
    <w:rsid w:val="00614B65"/>
    <w:rsid w:val="00636832"/>
    <w:rsid w:val="00640370"/>
    <w:rsid w:val="0065165E"/>
    <w:rsid w:val="006615BF"/>
    <w:rsid w:val="00663DD1"/>
    <w:rsid w:val="00692923"/>
    <w:rsid w:val="006A0292"/>
    <w:rsid w:val="006B68B4"/>
    <w:rsid w:val="006C7656"/>
    <w:rsid w:val="006E36AE"/>
    <w:rsid w:val="006F2CA6"/>
    <w:rsid w:val="0071529F"/>
    <w:rsid w:val="00722918"/>
    <w:rsid w:val="00732A4F"/>
    <w:rsid w:val="007333B9"/>
    <w:rsid w:val="007335B9"/>
    <w:rsid w:val="00742183"/>
    <w:rsid w:val="0075395D"/>
    <w:rsid w:val="00753EB0"/>
    <w:rsid w:val="007552C0"/>
    <w:rsid w:val="00763AB8"/>
    <w:rsid w:val="00775DE2"/>
    <w:rsid w:val="007834CB"/>
    <w:rsid w:val="00794903"/>
    <w:rsid w:val="007A1A31"/>
    <w:rsid w:val="007A3A3C"/>
    <w:rsid w:val="007A4419"/>
    <w:rsid w:val="007E28F1"/>
    <w:rsid w:val="00801FA9"/>
    <w:rsid w:val="0080374F"/>
    <w:rsid w:val="00815F5A"/>
    <w:rsid w:val="008329EC"/>
    <w:rsid w:val="00852311"/>
    <w:rsid w:val="00853BA6"/>
    <w:rsid w:val="008677E2"/>
    <w:rsid w:val="008916BC"/>
    <w:rsid w:val="008A06B4"/>
    <w:rsid w:val="008A3907"/>
    <w:rsid w:val="008B3346"/>
    <w:rsid w:val="008B3D52"/>
    <w:rsid w:val="008B5B70"/>
    <w:rsid w:val="008B7493"/>
    <w:rsid w:val="008C2418"/>
    <w:rsid w:val="008D5FF7"/>
    <w:rsid w:val="008E0AC8"/>
    <w:rsid w:val="008E5478"/>
    <w:rsid w:val="008F5637"/>
    <w:rsid w:val="009027D9"/>
    <w:rsid w:val="00905F75"/>
    <w:rsid w:val="00915ECA"/>
    <w:rsid w:val="009204AD"/>
    <w:rsid w:val="0092124C"/>
    <w:rsid w:val="00931069"/>
    <w:rsid w:val="00953DD4"/>
    <w:rsid w:val="00956AEB"/>
    <w:rsid w:val="00957100"/>
    <w:rsid w:val="009812DD"/>
    <w:rsid w:val="009905EB"/>
    <w:rsid w:val="00997E8D"/>
    <w:rsid w:val="009A1A34"/>
    <w:rsid w:val="009A68F7"/>
    <w:rsid w:val="009A72AF"/>
    <w:rsid w:val="009B501E"/>
    <w:rsid w:val="009B6939"/>
    <w:rsid w:val="009D69B1"/>
    <w:rsid w:val="009E6A83"/>
    <w:rsid w:val="00A11016"/>
    <w:rsid w:val="00A11D65"/>
    <w:rsid w:val="00A14A99"/>
    <w:rsid w:val="00A377E1"/>
    <w:rsid w:val="00A41ABB"/>
    <w:rsid w:val="00A519C4"/>
    <w:rsid w:val="00A566EC"/>
    <w:rsid w:val="00A82FB7"/>
    <w:rsid w:val="00AC65B1"/>
    <w:rsid w:val="00AE16DD"/>
    <w:rsid w:val="00B05267"/>
    <w:rsid w:val="00B05613"/>
    <w:rsid w:val="00B12AB4"/>
    <w:rsid w:val="00B26DA9"/>
    <w:rsid w:val="00B4074A"/>
    <w:rsid w:val="00B45676"/>
    <w:rsid w:val="00B47BA6"/>
    <w:rsid w:val="00B63793"/>
    <w:rsid w:val="00B67428"/>
    <w:rsid w:val="00B74C96"/>
    <w:rsid w:val="00B7522C"/>
    <w:rsid w:val="00B768FB"/>
    <w:rsid w:val="00B806E1"/>
    <w:rsid w:val="00B978E5"/>
    <w:rsid w:val="00BA405F"/>
    <w:rsid w:val="00BA7AF4"/>
    <w:rsid w:val="00BA7D1B"/>
    <w:rsid w:val="00BB18B9"/>
    <w:rsid w:val="00BC5476"/>
    <w:rsid w:val="00BE36FB"/>
    <w:rsid w:val="00BE399A"/>
    <w:rsid w:val="00C134F1"/>
    <w:rsid w:val="00C27FAB"/>
    <w:rsid w:val="00C37683"/>
    <w:rsid w:val="00C54B5E"/>
    <w:rsid w:val="00C60C68"/>
    <w:rsid w:val="00C70102"/>
    <w:rsid w:val="00C70EC0"/>
    <w:rsid w:val="00C83130"/>
    <w:rsid w:val="00C877AE"/>
    <w:rsid w:val="00C87E56"/>
    <w:rsid w:val="00C94515"/>
    <w:rsid w:val="00C96D49"/>
    <w:rsid w:val="00CB49B8"/>
    <w:rsid w:val="00CC2033"/>
    <w:rsid w:val="00CE2F17"/>
    <w:rsid w:val="00D01CE5"/>
    <w:rsid w:val="00D03FEB"/>
    <w:rsid w:val="00D277C2"/>
    <w:rsid w:val="00D46F7E"/>
    <w:rsid w:val="00D52D78"/>
    <w:rsid w:val="00D66206"/>
    <w:rsid w:val="00D704DC"/>
    <w:rsid w:val="00D746F1"/>
    <w:rsid w:val="00D8349A"/>
    <w:rsid w:val="00D83C34"/>
    <w:rsid w:val="00D855A0"/>
    <w:rsid w:val="00D91064"/>
    <w:rsid w:val="00D934C7"/>
    <w:rsid w:val="00DA11A6"/>
    <w:rsid w:val="00DA3F45"/>
    <w:rsid w:val="00DC0567"/>
    <w:rsid w:val="00DC592D"/>
    <w:rsid w:val="00DC654E"/>
    <w:rsid w:val="00DC71F6"/>
    <w:rsid w:val="00DD4A2C"/>
    <w:rsid w:val="00DD6F5B"/>
    <w:rsid w:val="00DF24C4"/>
    <w:rsid w:val="00E01949"/>
    <w:rsid w:val="00E01F53"/>
    <w:rsid w:val="00E36B89"/>
    <w:rsid w:val="00E45BBC"/>
    <w:rsid w:val="00E6141B"/>
    <w:rsid w:val="00E77F52"/>
    <w:rsid w:val="00E81210"/>
    <w:rsid w:val="00E9224E"/>
    <w:rsid w:val="00EA7296"/>
    <w:rsid w:val="00EA7558"/>
    <w:rsid w:val="00EB6216"/>
    <w:rsid w:val="00EC761F"/>
    <w:rsid w:val="00EE692C"/>
    <w:rsid w:val="00EE6A3A"/>
    <w:rsid w:val="00F0608C"/>
    <w:rsid w:val="00F17B27"/>
    <w:rsid w:val="00F22BA8"/>
    <w:rsid w:val="00F3301A"/>
    <w:rsid w:val="00F37AFE"/>
    <w:rsid w:val="00F37C7B"/>
    <w:rsid w:val="00F458EF"/>
    <w:rsid w:val="00F553AF"/>
    <w:rsid w:val="00F63805"/>
    <w:rsid w:val="00F66033"/>
    <w:rsid w:val="00F722CA"/>
    <w:rsid w:val="00F766E9"/>
    <w:rsid w:val="00FA294B"/>
    <w:rsid w:val="00FA7225"/>
    <w:rsid w:val="00FB03A4"/>
    <w:rsid w:val="00FB2009"/>
    <w:rsid w:val="00FB3902"/>
    <w:rsid w:val="00FC17E6"/>
    <w:rsid w:val="00FC3F76"/>
    <w:rsid w:val="00FD02F0"/>
    <w:rsid w:val="00FD4D85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4225"/>
  <w15:chartTrackingRefBased/>
  <w15:docId w15:val="{11249B66-043A-4FED-975A-D0724EF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E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83"/>
    <w:pPr>
      <w:ind w:left="720"/>
      <w:contextualSpacing/>
    </w:pPr>
    <w:rPr>
      <w:lang w:val="en-GB"/>
    </w:rPr>
  </w:style>
  <w:style w:type="paragraph" w:customStyle="1" w:styleId="Default">
    <w:name w:val="Default"/>
    <w:rsid w:val="00DF2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371010"/>
  </w:style>
  <w:style w:type="paragraph" w:styleId="Header">
    <w:name w:val="header"/>
    <w:basedOn w:val="Normal"/>
    <w:link w:val="HeaderChar"/>
    <w:uiPriority w:val="99"/>
    <w:unhideWhenUsed/>
    <w:rsid w:val="008A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07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A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07"/>
    <w:rPr>
      <w:lang w:val="en-IE"/>
    </w:rPr>
  </w:style>
  <w:style w:type="paragraph" w:styleId="FootnoteText">
    <w:name w:val="footnote text"/>
    <w:basedOn w:val="Normal"/>
    <w:link w:val="FootnoteTextChar"/>
    <w:semiHidden/>
    <w:unhideWhenUsed/>
    <w:rsid w:val="001F2E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2E54"/>
    <w:rPr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1F2E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14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A99"/>
    <w:rPr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A14A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99"/>
    <w:rPr>
      <w:rFonts w:ascii="Segoe UI" w:hAnsi="Segoe UI" w:cs="Segoe UI"/>
      <w:sz w:val="18"/>
      <w:szCs w:val="18"/>
      <w:lang w:val="en-IE"/>
    </w:rPr>
  </w:style>
  <w:style w:type="character" w:styleId="Strong">
    <w:name w:val="Strong"/>
    <w:uiPriority w:val="22"/>
    <w:qFormat/>
    <w:rsid w:val="00EC761F"/>
    <w:rPr>
      <w:b/>
      <w:bCs/>
    </w:rPr>
  </w:style>
  <w:style w:type="paragraph" w:styleId="Revision">
    <w:name w:val="Revision"/>
    <w:hidden/>
    <w:uiPriority w:val="99"/>
    <w:semiHidden/>
    <w:rsid w:val="00953DD4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72E3-7714-497E-BC1C-994C1DF3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 Eran (EEAS)</dc:creator>
  <cp:keywords/>
  <dc:description/>
  <cp:lastModifiedBy>KROLAK Natalia (EEAS-GENEVA)</cp:lastModifiedBy>
  <cp:revision>38</cp:revision>
  <cp:lastPrinted>2025-08-22T14:52:00Z</cp:lastPrinted>
  <dcterms:created xsi:type="dcterms:W3CDTF">2024-08-19T13:57:00Z</dcterms:created>
  <dcterms:modified xsi:type="dcterms:W3CDTF">2025-08-25T10:15:00Z</dcterms:modified>
</cp:coreProperties>
</file>